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0"/>
        <w:gridCol w:w="1807"/>
        <w:gridCol w:w="3088"/>
        <w:gridCol w:w="2800"/>
        <w:gridCol w:w="2401"/>
        <w:gridCol w:w="2150"/>
        <w:gridCol w:w="2429"/>
      </w:tblGrid>
      <w:tr w:rsidR="00E729EF" w:rsidRPr="00E729EF" w:rsidTr="00E729EF">
        <w:trPr>
          <w:trHeight w:val="699"/>
        </w:trPr>
        <w:tc>
          <w:tcPr>
            <w:tcW w:w="215" w:type="pct"/>
            <w:shd w:val="clear" w:color="auto" w:fill="FFFFFF"/>
          </w:tcPr>
          <w:p w:rsidR="00E729EF" w:rsidRDefault="00C923A7" w:rsidP="00E729EF">
            <w:pPr>
              <w:numPr>
                <w:ilvl w:val="0"/>
                <w:numId w:val="20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  <w:p w:rsidR="00C923A7" w:rsidRPr="00E729EF" w:rsidRDefault="00C923A7" w:rsidP="00E729EF">
            <w:pPr>
              <w:numPr>
                <w:ilvl w:val="0"/>
                <w:numId w:val="20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  <w:p w:rsidR="00E729EF" w:rsidRPr="00E729EF" w:rsidRDefault="00E729EF" w:rsidP="00E729EF">
            <w:pPr>
              <w:numPr>
                <w:ilvl w:val="0"/>
                <w:numId w:val="20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Budowa układu </w:t>
            </w:r>
            <w:proofErr w:type="spellStart"/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odpornościowe-go</w:t>
            </w:r>
            <w:proofErr w:type="spellEnd"/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. Rodzaje odporności</w:t>
            </w:r>
          </w:p>
        </w:tc>
        <w:tc>
          <w:tcPr>
            <w:tcW w:w="1007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pojęcia: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antygen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,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przeciwciało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>,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infekcja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,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patogen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funkcje układu odpornościowego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elementów układu odpornościowego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czym jest odporność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określa znaczenie przeciwciał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wymienia rodzaje odporności: nieswoista i swoista 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rozróżnia rodzaje odporności swoistej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trzy linie obrony organizmu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pojęcie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pamięć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immunologiczna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znaczenie szczepień ochronnych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sposoby nabierania odporności swoistej</w:t>
            </w:r>
          </w:p>
        </w:tc>
        <w:tc>
          <w:tcPr>
            <w:tcW w:w="91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rolę poszczególnych elementów układu odpornościowego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opisuje działanie barier obronnych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odporność nieswoistą (wrodzona) z odpornością swoistą (nabyta)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wyjaśnia, na czym polegają humoralna i komórkowa odporność </w:t>
            </w:r>
          </w:p>
          <w:p w:rsidR="00E729EF" w:rsidRPr="00E729EF" w:rsidRDefault="00E729EF" w:rsidP="00E729EF">
            <w:pPr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sposoby nabywania odporności swoistej czynnej oraz odporności swoistej biernej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na czym polega odpowiedź immunologiczna pierwotna i odpowiedź immunologiczna wtórna</w:t>
            </w:r>
          </w:p>
        </w:tc>
        <w:tc>
          <w:tcPr>
            <w:tcW w:w="78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klasyfikuje poszczególne elementy układu odpornościowego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w jaki sposób komórki układu odpornościowego niszczą patogeny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na czym polega swoistość przeciwciał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odporność komórkową z odpornością humoralną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znaczenie pamięci immunologicznej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pierwotną odpowiedź immunologiczną z wtórną odpowiedzią immunologiczną</w:t>
            </w:r>
          </w:p>
        </w:tc>
        <w:tc>
          <w:tcPr>
            <w:tcW w:w="701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wyjaśnia, na czym polega rola poszczególnych narządów, komórek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cząsteczek w reakcji odpornościowej</w:t>
            </w:r>
          </w:p>
          <w:p w:rsidR="00E729EF" w:rsidRPr="00E729EF" w:rsidRDefault="00E729EF" w:rsidP="00E729EF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wskazuje różnice dotyczące czasu uruchamiania się mechanizmów odporności humoralnej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odporności komórkowej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celowość stosowania szczepionek</w:t>
            </w:r>
          </w:p>
        </w:tc>
        <w:tc>
          <w:tcPr>
            <w:tcW w:w="792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porównuje limfocyty biorące udział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reakcji odpornościowej pod względem pełnionych przez nie funkcji</w:t>
            </w:r>
          </w:p>
          <w:p w:rsidR="00E729EF" w:rsidRPr="00E729EF" w:rsidRDefault="00E729EF" w:rsidP="00E729E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w jaki sposób oraz w jakich sytuacjach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organizmie tworzy się pamięć immunologiczna</w:t>
            </w:r>
          </w:p>
        </w:tc>
      </w:tr>
      <w:tr w:rsidR="00E729EF" w:rsidRPr="00E729EF" w:rsidTr="00E729EF">
        <w:tc>
          <w:tcPr>
            <w:tcW w:w="215" w:type="pct"/>
            <w:shd w:val="clear" w:color="auto" w:fill="FFFFFF"/>
          </w:tcPr>
          <w:p w:rsidR="00E729EF" w:rsidRPr="00E729EF" w:rsidRDefault="00C923A7" w:rsidP="00E729EF">
            <w:pPr>
              <w:numPr>
                <w:ilvl w:val="0"/>
                <w:numId w:val="20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89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Zaburzenia funkcjonowania układu </w:t>
            </w:r>
            <w:proofErr w:type="spellStart"/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odpornościowe-go</w:t>
            </w:r>
            <w:proofErr w:type="spellEnd"/>
          </w:p>
        </w:tc>
        <w:tc>
          <w:tcPr>
            <w:tcW w:w="1007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czynniki osłabiające układ odpornościowy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przedstawia reakcje alergiczne jako nadmierną reakcję układu odpornościowego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pojęcie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główny układ zgodności tkankowej (MHC)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cel stosowania przeszczepów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pojęcie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immunosupresja</w:t>
            </w:r>
          </w:p>
        </w:tc>
        <w:tc>
          <w:tcPr>
            <w:tcW w:w="91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przyczyny oraz działania profilaktyczne reakcji alergicznej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wykazuje, że alergia jest stanem nadwrażliwości organizmu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przyczyny konfliktu serologicznego w zakresie Rh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analizuje na schemacie mechanizm stosowania immunosupresji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transplantacji szpiku kostnego</w:t>
            </w:r>
          </w:p>
          <w:p w:rsidR="00E729EF" w:rsidRPr="00E729EF" w:rsidRDefault="00E729EF" w:rsidP="00E729E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przyczyny nieprawidłowych reakcji odpornościowych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omawia znaczenie antygenów zgodności tkankowej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transplantacjach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zasady przeszczepiania narządów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zasady, których należy przestrzegać przy przeszczepach</w:t>
            </w:r>
          </w:p>
        </w:tc>
        <w:tc>
          <w:tcPr>
            <w:tcW w:w="701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dowodzi, że AIDS jest chorobą układu odpornościowego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omawia znaczenie antygenów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zgodności tkankowej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prawidłowym funkcjonowaniu układu odpornościowego</w:t>
            </w:r>
          </w:p>
        </w:tc>
        <w:tc>
          <w:tcPr>
            <w:tcW w:w="792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 związek zgodności tkankowej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immunosupresją oraz wykazuje ich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znaczenie dla transplantologii</w:t>
            </w:r>
          </w:p>
        </w:tc>
      </w:tr>
      <w:tr w:rsidR="00E729EF" w:rsidRPr="00E729EF" w:rsidTr="00E729EF">
        <w:trPr>
          <w:trHeight w:val="320"/>
        </w:trPr>
        <w:tc>
          <w:tcPr>
            <w:tcW w:w="5000" w:type="pct"/>
            <w:gridSpan w:val="7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Rozdział 8. Układ moczowy</w:t>
            </w:r>
          </w:p>
        </w:tc>
      </w:tr>
      <w:tr w:rsidR="00E729EF" w:rsidRPr="00E729EF" w:rsidTr="00E729EF">
        <w:trPr>
          <w:trHeight w:val="1134"/>
        </w:trPr>
        <w:tc>
          <w:tcPr>
            <w:tcW w:w="215" w:type="pct"/>
            <w:shd w:val="clear" w:color="auto" w:fill="FFFFFF"/>
          </w:tcPr>
          <w:p w:rsidR="00C923A7" w:rsidRDefault="00C923A7" w:rsidP="00E729EF">
            <w:pPr>
              <w:numPr>
                <w:ilvl w:val="0"/>
                <w:numId w:val="20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  <w:p w:rsidR="00E729EF" w:rsidRPr="00E729EF" w:rsidRDefault="00C923A7" w:rsidP="00E729EF">
            <w:pPr>
              <w:numPr>
                <w:ilvl w:val="0"/>
                <w:numId w:val="20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  <w:p w:rsidR="00E729EF" w:rsidRPr="00E729EF" w:rsidRDefault="00E729EF" w:rsidP="00E729EF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Budowa i funkcjonowanie układu moczowego</w:t>
            </w:r>
          </w:p>
        </w:tc>
        <w:tc>
          <w:tcPr>
            <w:tcW w:w="1007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funkcje układu moczowego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zbędnych produktów przemiany materii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wskazuje na schematach elementy układu moczowego i podaje ich nazwy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nazwy procesów zachodzących w nerkach podczas powstawania moczu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funkcje nerek</w:t>
            </w:r>
          </w:p>
        </w:tc>
        <w:tc>
          <w:tcPr>
            <w:tcW w:w="91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narządy układu moczowego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anatomiczną nerki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procesy zachodzące w nefronie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drogi wydalania zbędnych produktów przemiany materii</w:t>
            </w:r>
          </w:p>
        </w:tc>
        <w:tc>
          <w:tcPr>
            <w:tcW w:w="78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sposoby wydalania z organizmu trzech głównych produktów metabolizmu: amoniaku (mocznika), dwutlenku węgla i wody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i funkcje nefronu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procesy zachodzące w nefronie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jaką rolę odgrywają nerki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osmoregulacji</w:t>
            </w:r>
          </w:p>
        </w:tc>
        <w:tc>
          <w:tcPr>
            <w:tcW w:w="701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mechanizm wydalania moczu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opisuje rolę ADH w utrzymaniu równowagi wodnej organizmu</w:t>
            </w:r>
          </w:p>
        </w:tc>
        <w:tc>
          <w:tcPr>
            <w:tcW w:w="792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regulację hormonalną powstawania moczu</w:t>
            </w:r>
          </w:p>
        </w:tc>
      </w:tr>
      <w:tr w:rsidR="00E729EF" w:rsidRPr="00E729EF" w:rsidTr="00E729EF">
        <w:tc>
          <w:tcPr>
            <w:tcW w:w="215" w:type="pct"/>
            <w:shd w:val="clear" w:color="auto" w:fill="FFFFFF"/>
          </w:tcPr>
          <w:p w:rsidR="00E729EF" w:rsidRPr="00E729EF" w:rsidRDefault="00C923A7" w:rsidP="00E729EF">
            <w:pPr>
              <w:numPr>
                <w:ilvl w:val="0"/>
                <w:numId w:val="20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6.</w:t>
            </w:r>
          </w:p>
        </w:tc>
        <w:tc>
          <w:tcPr>
            <w:tcW w:w="589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Choroby układu moczowego</w:t>
            </w:r>
          </w:p>
        </w:tc>
        <w:tc>
          <w:tcPr>
            <w:tcW w:w="1007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badanie ogólne moczu jako jedną z najważniejszych metod diagnostycznych układu moczowego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analizuje wyniki badania moczu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cel stosowania dializy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zasady higieny układu moczowego</w:t>
            </w:r>
          </w:p>
        </w:tc>
        <w:tc>
          <w:tcPr>
            <w:tcW w:w="91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cechy moczu zdrowego człowieka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zasady profilaktyki niewydolności nerek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na czym polega i jaki jest cel zastosowania dializy w leczeniu niewydolności nerek</w:t>
            </w:r>
          </w:p>
          <w:p w:rsidR="00E729EF" w:rsidRPr="00E729EF" w:rsidRDefault="00E729EF" w:rsidP="00E729E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chorobę: niewydolność nerek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ocenia znaczenie dializy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składniki moczu, które mogą wskazywać na chorobę nerek</w:t>
            </w:r>
          </w:p>
        </w:tc>
        <w:tc>
          <w:tcPr>
            <w:tcW w:w="701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rozpoznaje objawy chorób układu moczowego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jaką rolę odgrywa dializa w leczeniu chorych na niewydolność nerek</w:t>
            </w:r>
          </w:p>
        </w:tc>
        <w:tc>
          <w:tcPr>
            <w:tcW w:w="792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dowodzi dużego znaczenia badań moczu w diagnostyce chorób nerek</w:t>
            </w:r>
          </w:p>
          <w:p w:rsidR="00E729EF" w:rsidRPr="00E729EF" w:rsidRDefault="00E729EF" w:rsidP="00E729E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uzasadnia na podstawie różnych źródeł, że mocz może być wykorzystywany do stawiania szybkich diagnoz, np. potwierdzania ciąży</w:t>
            </w:r>
          </w:p>
        </w:tc>
      </w:tr>
      <w:tr w:rsidR="00E729EF" w:rsidRPr="00E729EF" w:rsidTr="00E729EF">
        <w:trPr>
          <w:cantSplit/>
          <w:trHeight w:val="214"/>
        </w:trPr>
        <w:tc>
          <w:tcPr>
            <w:tcW w:w="215" w:type="pct"/>
            <w:shd w:val="clear" w:color="auto" w:fill="FFFFFF"/>
          </w:tcPr>
          <w:p w:rsidR="00E729EF" w:rsidRDefault="00C923A7" w:rsidP="00E729EF">
            <w:pPr>
              <w:numPr>
                <w:ilvl w:val="0"/>
                <w:numId w:val="20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7.</w:t>
            </w:r>
          </w:p>
          <w:p w:rsidR="00C923A7" w:rsidRPr="00E729EF" w:rsidRDefault="00C923A7" w:rsidP="00E729EF">
            <w:pPr>
              <w:numPr>
                <w:ilvl w:val="0"/>
                <w:numId w:val="20"/>
              </w:num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8.</w:t>
            </w:r>
          </w:p>
          <w:p w:rsidR="00E729EF" w:rsidRPr="00E729EF" w:rsidRDefault="00E729EF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85" w:type="pct"/>
            <w:gridSpan w:val="6"/>
            <w:shd w:val="clear" w:color="auto" w:fill="FFFFFF"/>
            <w:vAlign w:val="center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Powtórzenie i sprawdzenie stopnia opanowania wiadomości i umiejętności z rozdziałów „Odporność organizmu” i „Układ moczowy</w:t>
            </w:r>
          </w:p>
        </w:tc>
      </w:tr>
      <w:tr w:rsidR="00E729EF" w:rsidRPr="00E729EF" w:rsidTr="00E729EF">
        <w:trPr>
          <w:cantSplit/>
          <w:trHeight w:val="214"/>
        </w:trPr>
        <w:tc>
          <w:tcPr>
            <w:tcW w:w="5000" w:type="pct"/>
            <w:gridSpan w:val="7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Rozdział 9. Układ nerwowy</w:t>
            </w:r>
          </w:p>
        </w:tc>
      </w:tr>
      <w:tr w:rsidR="00E729EF" w:rsidRPr="00E729EF" w:rsidTr="00E729EF">
        <w:trPr>
          <w:trHeight w:val="1134"/>
        </w:trPr>
        <w:tc>
          <w:tcPr>
            <w:tcW w:w="215" w:type="pct"/>
            <w:shd w:val="clear" w:color="auto" w:fill="FFFFFF"/>
          </w:tcPr>
          <w:p w:rsid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  <w:p w:rsidR="00E729EF" w:rsidRPr="00E729EF" w:rsidRDefault="00E729EF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Budowa i działanie układu nerwowego</w:t>
            </w:r>
          </w:p>
        </w:tc>
        <w:tc>
          <w:tcPr>
            <w:tcW w:w="1007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podstawowych elementów układu nerwowego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funkcje układu nerwowego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nazwy i funkcje części neuronu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opisuje mechanizm przewodzenia impulsu nerwowego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definiuje pojęcia: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impuls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nerwowy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,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polaryzacja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,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depolaryzacja, repolaryzacja, synapsa</w:t>
            </w:r>
          </w:p>
        </w:tc>
        <w:tc>
          <w:tcPr>
            <w:tcW w:w="91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ogólną budowę układu nerwowego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dendryty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z aksonem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funkcję osłonki mielinowej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budowę i działanie synapsy chemicznej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opisuje sposób przekazywania impulsu nerwowego przez neurony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przykłady neuroprzekaźników</w:t>
            </w:r>
          </w:p>
        </w:tc>
        <w:tc>
          <w:tcPr>
            <w:tcW w:w="78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proces przekazywania impulsów nerwowych między komórkami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rolę neuroprzekaźników pobudzających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neuroprzekaźników hamujących</w:t>
            </w:r>
          </w:p>
        </w:tc>
        <w:tc>
          <w:tcPr>
            <w:tcW w:w="701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klasyfikuje i opisuje neuroprzekaźniki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funkcjonowanie synapsy chemicznej</w:t>
            </w:r>
          </w:p>
        </w:tc>
        <w:tc>
          <w:tcPr>
            <w:tcW w:w="792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na czym polegają procesy: polaryzacja, depolaryzacja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repolaryzacja</w:t>
            </w:r>
          </w:p>
        </w:tc>
      </w:tr>
      <w:tr w:rsidR="00E729EF" w:rsidRPr="00E729EF" w:rsidTr="00E729EF">
        <w:tc>
          <w:tcPr>
            <w:tcW w:w="215" w:type="pct"/>
            <w:shd w:val="clear" w:color="auto" w:fill="FFFFFF"/>
          </w:tcPr>
          <w:p w:rsidR="00E729EF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589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Ośrodkowy układ nerwowy</w:t>
            </w:r>
          </w:p>
        </w:tc>
        <w:tc>
          <w:tcPr>
            <w:tcW w:w="1007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nazwy elementów ośrodkowego układu nerwowego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funkcje mózgowia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płatów kresomózgowia i wskazuje na schemacie ich położenie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budowę i rolę rdzenia kręgowego na podstawie schematu</w:t>
            </w:r>
          </w:p>
        </w:tc>
        <w:tc>
          <w:tcPr>
            <w:tcW w:w="91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ośrodkowego układu nerwowego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rolę poszczególnych części mózgowia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rozróżnia płaty w korze mózgowej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budowę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funkcję rdzenia kręgowego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położenie istoty szarej z położeniem istoty białej w mózgowiu i rdzeniu kręgowym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funkcje móżdżku</w:t>
            </w:r>
          </w:p>
        </w:tc>
        <w:tc>
          <w:tcPr>
            <w:tcW w:w="78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wykazuje, że mózg jest częścią mózgowia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poszczególne części mózgowia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mózg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rdzeń kręgowy pod względem budowy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pełnionych funkcji</w:t>
            </w:r>
          </w:p>
        </w:tc>
        <w:tc>
          <w:tcPr>
            <w:tcW w:w="701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na podstawie zdobytych informacji ocenia opinię, że mózg się nie regeneruje i swoją wypowiedź</w:t>
            </w:r>
          </w:p>
          <w:p w:rsidR="00E729EF" w:rsidRPr="00E729EF" w:rsidRDefault="00E729EF" w:rsidP="00E729E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uzasadnia</w:t>
            </w:r>
          </w:p>
        </w:tc>
        <w:tc>
          <w:tcPr>
            <w:tcW w:w="792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weryfikuje na podstawie danych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z czasopism popularnonaukowych prawdziwość stwierdzenia, że mózg wykorzystuje tylko niewielką część swoich możliwości</w:t>
            </w:r>
          </w:p>
          <w:p w:rsidR="00E729EF" w:rsidRPr="00E729EF" w:rsidRDefault="00E729EF" w:rsidP="00E729EF">
            <w:pPr>
              <w:numPr>
                <w:ilvl w:val="0"/>
                <w:numId w:val="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na podstawie literatury, dlaczego istota szara i istota biała są umiejscowione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w mózgu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w rdzeniu kręgowym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„odwrotny” sposób</w:t>
            </w:r>
          </w:p>
        </w:tc>
      </w:tr>
      <w:tr w:rsidR="00E729EF" w:rsidRPr="00E729EF" w:rsidTr="00E729EF">
        <w:tc>
          <w:tcPr>
            <w:tcW w:w="215" w:type="pct"/>
            <w:shd w:val="clear" w:color="auto" w:fill="FFFFFF"/>
          </w:tcPr>
          <w:p w:rsidR="00E729EF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89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Obwodowy układ nerwowy</w:t>
            </w:r>
          </w:p>
        </w:tc>
        <w:tc>
          <w:tcPr>
            <w:tcW w:w="1007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budowę obwodowego układu nerwowego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funkcje obwodowego układu nerwowego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pojęcia: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łuk odruchowy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odruch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rodzaje nerwów (nerwy ruchowe, nerwy czuciowe, nerwy mieszane)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wymienia nazwy elementów łuku odruchowego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pojęcia: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odruchy bezwarunkowe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,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odruchy warunkowe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przedstawia przykłady odruchów warunkowych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odruchów bezwarunkowych</w:t>
            </w:r>
          </w:p>
        </w:tc>
        <w:tc>
          <w:tcPr>
            <w:tcW w:w="91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nerwu</w:t>
            </w:r>
          </w:p>
          <w:p w:rsidR="00E729EF" w:rsidRPr="00E729EF" w:rsidRDefault="00E729EF" w:rsidP="00E729EF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rozróżnia neurony pod względem funkcjonalnym (neurony czuciowe, neurony ruchowe, neurony pośredniczące) i podaje ich funkcje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rozróżnia nerwy czaszkowe i nerwy rdzeniowe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elementy łuku odruchowego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opisuje przebieg reakcji odruchowej na podstawie schematu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w jaki sposób można wyrobić w sobie odruch uczenia się</w:t>
            </w:r>
          </w:p>
        </w:tc>
        <w:tc>
          <w:tcPr>
            <w:tcW w:w="78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analizuje przebieg reakcji odruchowej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odruchy warunkowe z odruchami bezwarunkowymi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dzieli przykładowe odruchy na odruchy warunkowe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bezwarunkowe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opisuje drogę, którą pokonuje impuls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 łuku odruchowym np. po ukłuciu palca igłą</w:t>
            </w:r>
          </w:p>
        </w:tc>
        <w:tc>
          <w:tcPr>
            <w:tcW w:w="701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w jaki sposób powstaje odruch warunkowy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dowodzi znaczenia odruchów warunkowych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uczeniu się</w:t>
            </w:r>
          </w:p>
        </w:tc>
        <w:tc>
          <w:tcPr>
            <w:tcW w:w="792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planuje przebieg doświadczenia, którego celem będzie nauczenie psa, aby spał na swoim legowisku,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a nie w łóżku dziecka</w:t>
            </w:r>
          </w:p>
          <w:p w:rsidR="00E729EF" w:rsidRPr="00E729EF" w:rsidRDefault="00E729EF" w:rsidP="00E729EF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podaje przykłady odruchów bezwarunkowych oraz wyjaśnia, jakie mają one znaczenie dla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funkcjonowania człowieka</w:t>
            </w:r>
          </w:p>
        </w:tc>
      </w:tr>
      <w:tr w:rsidR="00E729EF" w:rsidRPr="00E729EF" w:rsidTr="00E729EF">
        <w:tc>
          <w:tcPr>
            <w:tcW w:w="215" w:type="pct"/>
            <w:shd w:val="clear" w:color="auto" w:fill="FFFFFF"/>
          </w:tcPr>
          <w:p w:rsidR="00E729EF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89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Autonomiczny układ nerwowy</w:t>
            </w:r>
          </w:p>
        </w:tc>
        <w:tc>
          <w:tcPr>
            <w:tcW w:w="1007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klasyfikuje części układu nerwowego pod względem funkcjonalnym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funkcje układu autonomicznego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przykłady sytuacji, w których działa układ współczulny, oraz przykłady sytuacji,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których działa układ przywspółczulny</w:t>
            </w:r>
          </w:p>
        </w:tc>
        <w:tc>
          <w:tcPr>
            <w:tcW w:w="91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rozróżnia somatyczny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autonomiczny układ nerwowy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funkcje układu autonomicznego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jakie znaczenie dla prawidłowego funkcjonowania organizmu ma antagonistyczne działanie części współczulnej i części przywspółczulnej</w:t>
            </w:r>
          </w:p>
        </w:tc>
        <w:tc>
          <w:tcPr>
            <w:tcW w:w="78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część współczulną autonomicznego układu nerwowego z częścią przywspółczulną tego układu pod względem funkcji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rolę autonomicznego układu nerwowego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utrzymywaniu homeostazy</w:t>
            </w:r>
          </w:p>
        </w:tc>
        <w:tc>
          <w:tcPr>
            <w:tcW w:w="701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 antagonizm czynnościowy części współczulnej i części przywspółczulnej układu autonomicznego</w:t>
            </w:r>
          </w:p>
        </w:tc>
        <w:tc>
          <w:tcPr>
            <w:tcW w:w="792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ocenia aktywność części współczulnej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części przywspółczulnej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nietypowych sytuacjach oraz uzasadnia swoją ocenę</w:t>
            </w:r>
          </w:p>
        </w:tc>
      </w:tr>
      <w:tr w:rsidR="00E729EF" w:rsidRPr="00E729EF" w:rsidTr="00E729EF">
        <w:tc>
          <w:tcPr>
            <w:tcW w:w="215" w:type="pct"/>
            <w:shd w:val="clear" w:color="auto" w:fill="FFFFFF"/>
          </w:tcPr>
          <w:p w:rsidR="00E729EF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589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Higiena i choroby układu nerwowego</w:t>
            </w:r>
          </w:p>
        </w:tc>
        <w:tc>
          <w:tcPr>
            <w:tcW w:w="1007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zasady higieny układu nerwowego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znaczenie snu dla organizmu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pojęcie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uzależnienie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wymienia konsekwencje uzależnienia się od substancji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psychoaktywnych, w tym dopalaczy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32462076"/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wybrane choroby układu nerwowego (chorobę Alzheimera, chorobę Parkinsona, depresję)</w:t>
            </w:r>
            <w:bookmarkEnd w:id="0"/>
          </w:p>
        </w:tc>
        <w:tc>
          <w:tcPr>
            <w:tcW w:w="91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sposoby zmniejszania ryzyka powstawania uzależnień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ocenia znaczenie snu dla prawidłowego funkcjonowania organizmu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znaczenie wczesnej diagnostyki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 ograniczaniu społecznych skutków chorób układu nerwowego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podstawowe metody diagnozowania chorób układu nerwowego (elektroencefalografia, tomografia komputerowa, magnetyczny rezonans jądrowy)</w:t>
            </w:r>
          </w:p>
        </w:tc>
        <w:tc>
          <w:tcPr>
            <w:tcW w:w="783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metody diagnozowania chorób układu nerwowego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na czym polega mechanizm powstawania uzależnienia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charakteryzuje przyczyny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objawy wybranych chorób układu nerwowego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 znaczenie wczesnej diagnostyki chorób neurologicznych</w:t>
            </w:r>
          </w:p>
        </w:tc>
        <w:tc>
          <w:tcPr>
            <w:tcW w:w="701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profilaktykę wybranych chorób układu nerwowego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ocenia na podstawie zdobytych informacji </w:t>
            </w:r>
            <w:bookmarkStart w:id="1" w:name="_Hlk32462426"/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słuszność stwierdzenia, że zbyt długie używanie 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>telefonów komórkowych ma negatywny wpływ na funkcjonowanie układu nerwowego</w:t>
            </w:r>
            <w:bookmarkEnd w:id="1"/>
          </w:p>
        </w:tc>
        <w:tc>
          <w:tcPr>
            <w:tcW w:w="792" w:type="pct"/>
            <w:shd w:val="clear" w:color="auto" w:fill="FFFFFF"/>
          </w:tcPr>
          <w:p w:rsidR="00E729EF" w:rsidRPr="00E729EF" w:rsidRDefault="00E729EF" w:rsidP="00E729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wyszukuje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literaturze informacje na temat czynników ryzyka wystąpienia depresji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u człowieka</w:t>
            </w:r>
          </w:p>
          <w:p w:rsidR="00E729EF" w:rsidRPr="00E729EF" w:rsidRDefault="00E729EF" w:rsidP="00E729E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wyjaśnia, że uzależnienie jest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chorobą związaną ze zwiększeniem </w:t>
            </w:r>
            <w:r w:rsidRPr="00E729EF">
              <w:rPr>
                <w:rFonts w:ascii="Times New Roman" w:eastAsia="Calibri" w:hAnsi="Times New Roman" w:cs="Times New Roman"/>
                <w:lang w:eastAsia="pl-PL"/>
              </w:rPr>
              <w:t>poziomu dopaminy</w:t>
            </w:r>
            <w:r w:rsidRPr="00E729EF">
              <w:rPr>
                <w:rFonts w:ascii="Times New Roman" w:eastAsia="Calibri" w:hAnsi="Times New Roman" w:cs="Times New Roman"/>
                <w:lang w:eastAsia="pl-PL"/>
              </w:rPr>
              <w:br/>
              <w:t>w tzw. układzie nagrody, i omawia wpływ uzależnień na organizm</w:t>
            </w:r>
          </w:p>
        </w:tc>
      </w:tr>
      <w:tr w:rsidR="00C923A7" w:rsidRPr="00E729EF" w:rsidTr="002B5727">
        <w:tc>
          <w:tcPr>
            <w:tcW w:w="215" w:type="pct"/>
            <w:shd w:val="clear" w:color="auto" w:fill="FFFFFF"/>
          </w:tcPr>
          <w:p w:rsidR="00C923A7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15.16.</w:t>
            </w:r>
          </w:p>
        </w:tc>
        <w:tc>
          <w:tcPr>
            <w:tcW w:w="4785" w:type="pct"/>
            <w:gridSpan w:val="6"/>
            <w:shd w:val="clear" w:color="auto" w:fill="FFFFFF"/>
            <w:vAlign w:val="center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Powtórzenie i sprawdzenie stopnia opanowania wiadomości i umiejętności z </w:t>
            </w:r>
            <w:proofErr w:type="spellStart"/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rozdzia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„Układ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nerwowy”</w:t>
            </w:r>
          </w:p>
        </w:tc>
      </w:tr>
      <w:tr w:rsidR="00C923A7" w:rsidRPr="00E729EF" w:rsidTr="00E729EF">
        <w:tc>
          <w:tcPr>
            <w:tcW w:w="5000" w:type="pct"/>
            <w:gridSpan w:val="7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Rozdział 10. Narządy zmysłów</w:t>
            </w:r>
          </w:p>
        </w:tc>
      </w:tr>
      <w:tr w:rsidR="00C923A7" w:rsidRPr="00E729EF" w:rsidTr="00E729EF">
        <w:trPr>
          <w:trHeight w:val="1134"/>
        </w:trPr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Budowa i działanie narządu wzroku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rodzaje receptorów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pojęcia: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receptor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,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adaptacja oka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,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akomodacja oka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elementy aparatu ochronnego oka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elementy gałki ocznej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określa funkcje poszczególnych elementów narządu wzroku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wskazuje podstawowe zasady higieny wzroku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poszczególne receptory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na podstawie rysunku wymienia funkcje oka 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anatomiczną gałki ocznej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drogę, którą pokonuje światło w gałce ocznej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wymienia cechy obrazu powstającego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na siatkówce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na czym polega akomodacja oka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przyczyny wad wzroku</w:t>
            </w: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wskazuje kryterium podziału receptorów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funkcje elementów gałki ocznej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dlaczego człowiek może widzieć przestrzennie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funkcję pręcików z funkcją czopków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uzasadnia, że właściwa dieta, właściwe oświetlenie, unikanie zanieczyszczeń pyłowych oraz inne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czynniki mają istotny wpływ dla utrzymywania oczu w dobrej kondycji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uzasadnia znaczenie widzenia dwuocznego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wskazuje i wyjaśnia różnice między akomodacją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a adaptacją oka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mechanizm powstawania obrazu</w:t>
            </w:r>
          </w:p>
          <w:p w:rsidR="00C923A7" w:rsidRPr="00E729EF" w:rsidRDefault="00C923A7" w:rsidP="00C923A7">
            <w:pPr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wyszukuje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dostępnych źródłach informacje dotyczące produktów spożywczych, które powinny być spożywane przez osoby pracujące przez długi czas przy monitorach i uzasadnia swój wybór</w:t>
            </w:r>
          </w:p>
        </w:tc>
      </w:tr>
      <w:tr w:rsidR="00C923A7" w:rsidRPr="00E729EF" w:rsidTr="00E729EF"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Ucho – narząd zmysłu słuchu i zmysłu równowagi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elementów ucha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drogę, którą pokonuje fala dźwiękowa w uchu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budowę narządu równowagi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określa podstawowe funkcje elementów narządu zmysłu słuchu i zmysłu równowagi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negatywne skutki oddziaływania hałasu na funkcjonowanie organizmu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zasady dbałości o narząd słuchu i równowagi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opisuje elementy ucha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budowę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funkcję narządu równowagi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dowodzi szkodliwości hałasu dla zdrowia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rozróżnia na rysunku ucho zewnętrzne, ucho środkowe i ucho wewnętrzne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opisuje drogę fal dźwiękowych w uchu i impulsu nerwowego prowadzącą do powstania wrażeń słuchowych</w:t>
            </w: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elementy ucha pod względem budowy i pełnionych funkcji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mechanizm powstawania wrażeń słuchowych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dlaczego człowiek może słyszeć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zasadę działania narządu równowagi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wykazuje, że receptory słuchu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równowagi są mechanoreceptora-mi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określa zakres częstotliwości dźwięku, na który reaguje ludzkie ucho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w jaki sposób trąbka słuchowa wyrównuje ciśnienie po obu stronach błony bębenkowej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w jaki sposób działa narząd równowagi, gdy człowiek się pochyla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gdy wykonuje ruchy obrotowe</w:t>
            </w:r>
          </w:p>
          <w:p w:rsidR="00C923A7" w:rsidRPr="00E729EF" w:rsidRDefault="00C923A7" w:rsidP="00C923A7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w jaki sposób narząd równowagi reaguje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nietypowych sytuacjach</w:t>
            </w:r>
          </w:p>
        </w:tc>
      </w:tr>
      <w:tr w:rsidR="00C923A7" w:rsidRPr="00E729EF" w:rsidTr="00E729EF"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Narządy smaku oraz węchu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budowę narządu smaku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podstawowe funkcje narządu smaku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pięciu podstawowych smaków odczuwanych przez człowieka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przedstawia budowę narządu węchu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funkcje narządu węchu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biologiczne znaczenie zmysłów smaku i węchu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budowę narządów smaku i węchu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znaczenie adaptacyjne narządu węchu</w:t>
            </w: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w jaki sposób powstają wrażenia smakowe i zapachowe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narządów smaku i węchu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opisuje mechanizm powstawania wrażeń węchowych i smakowych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 znaczenie zmysłów węchu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smaku w ochronie organizmu przed zagrożeniami, np. przed zatruciem drogą oddechową lub drogą pokarmową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 związek między budową narządów smaku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węchu a ich funkcjami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dowodzi, że komórki zmysłowe występujące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 narządach smaku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węchu należą do chemoreceptorów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planuje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przeprowadza doświadczenie dotyczące współdziałania narządu smaku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z narządem węchu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wykorzystaniem np.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musów owocowo-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-warzywnych oraz formułuje wnioski na podstawie uzyskanych wyników obserwacji</w:t>
            </w:r>
          </w:p>
        </w:tc>
      </w:tr>
      <w:tr w:rsidR="00C923A7" w:rsidRPr="00E729EF" w:rsidTr="00E729EF">
        <w:trPr>
          <w:cantSplit/>
          <w:trHeight w:val="316"/>
        </w:trPr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20.</w:t>
            </w:r>
          </w:p>
          <w:p w:rsidR="00C923A7" w:rsidRPr="00E729EF" w:rsidRDefault="00C923A7" w:rsidP="00C923A7">
            <w:pPr>
              <w:spacing w:after="0" w:line="240" w:lineRule="auto"/>
              <w:ind w:left="-32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85" w:type="pct"/>
            <w:gridSpan w:val="6"/>
            <w:shd w:val="clear" w:color="auto" w:fill="FFFFFF"/>
            <w:vAlign w:val="center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Powtórzenie i sprawdzenie stopnia opanowania wiadomości i umiejętności z rozdział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u</w:t>
            </w: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„Narządy zmysłów”</w:t>
            </w:r>
          </w:p>
        </w:tc>
      </w:tr>
      <w:tr w:rsidR="00C923A7" w:rsidRPr="00E729EF" w:rsidTr="00E729EF">
        <w:trPr>
          <w:cantSplit/>
          <w:trHeight w:val="316"/>
        </w:trPr>
        <w:tc>
          <w:tcPr>
            <w:tcW w:w="5000" w:type="pct"/>
            <w:gridSpan w:val="7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Rozdział 11. Układ hormonalny</w:t>
            </w:r>
          </w:p>
        </w:tc>
      </w:tr>
      <w:tr w:rsidR="00C923A7" w:rsidRPr="00E729EF" w:rsidTr="00E729EF">
        <w:trPr>
          <w:trHeight w:val="841"/>
        </w:trPr>
        <w:tc>
          <w:tcPr>
            <w:tcW w:w="215" w:type="pct"/>
            <w:shd w:val="clear" w:color="auto" w:fill="FFFFFF"/>
          </w:tcPr>
          <w:p w:rsidR="00C923A7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</w:t>
            </w:r>
          </w:p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</w:t>
            </w:r>
          </w:p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Budowa i rola układu hormonalnego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budowę układu hormonalnego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określa położenie gruczołów dokrewnych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pojęcia: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hormon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gruczoł dokrewny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gruczoły dokrewne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hormonów wydzielanych przez poszczególne gruczoły dokrewne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rolę poszczególnych hormonów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regulację tempa metabolizmu przez tarczycę</w:t>
            </w: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klasyfikuje hormony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ze względu na ich działanie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regulację wzrostu organizmu przez przysadkę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przyporządkowuje hormony do odpowiednich gruczołów na podstawie przedstawionych funkcji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rolę różnych hormonów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regulacji tempa metabolizmu i w regulacji wzrostu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dowodzi współdziałania różnych hormonów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regulacji tempa metabolizmu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w regulacji wzrostu organizmu</w:t>
            </w:r>
          </w:p>
          <w:p w:rsidR="00C923A7" w:rsidRPr="00E729EF" w:rsidRDefault="00C923A7" w:rsidP="00C923A7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wyjaśnia na podstawie literatury,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jaki sposób współdziałanie hormonów wpływa na utrzymywanie homeostazy</w:t>
            </w:r>
          </w:p>
        </w:tc>
      </w:tr>
      <w:tr w:rsidR="00C923A7" w:rsidRPr="00E729EF" w:rsidTr="00E729EF"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Regulacja wydzielania hormonów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wyjaśnia pojęcie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ujemne sprzężenie zwrotne</w:t>
            </w:r>
          </w:p>
          <w:p w:rsidR="00C923A7" w:rsidRPr="00E729EF" w:rsidRDefault="00C923A7" w:rsidP="00C923A7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na podstawie schematu antagonistyczne działanie hormonów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na czym polega antagonistyczne działanie insuliny i glukagonu</w:t>
            </w:r>
          </w:p>
          <w:p w:rsidR="00C923A7" w:rsidRPr="00E729EF" w:rsidRDefault="00C923A7" w:rsidP="00C923A7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mechanizm ujemnego sprzężenia zwrotnego na przykładzie regulacji pracy tarczycy</w:t>
            </w: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działanie układu hormonalnego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z działaniem układu nerwowego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dowodzi zasadności kontrolowania poziomu glukozy we krwi</w:t>
            </w:r>
          </w:p>
          <w:p w:rsidR="00C923A7" w:rsidRPr="00E729EF" w:rsidRDefault="00C923A7" w:rsidP="00C923A7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wykazuje, że poziom glukozy we krwi musi podlegać regulacji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dowodzi istnienia związku między układem dokrewnym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a układem nerwowym oraz wyjaśnia rolę tych układów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utrzymywaniu homeostazy</w:t>
            </w:r>
          </w:p>
        </w:tc>
      </w:tr>
      <w:tr w:rsidR="00C923A7" w:rsidRPr="00E729EF" w:rsidTr="00E729EF"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Nadczynność i niedoczynność tarczycy. Stres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pojęcia: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nadczynność gruczołu</w:t>
            </w:r>
            <w:r w:rsidRPr="00E729EF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,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niedoczynność gruczołu, stres</w:t>
            </w:r>
          </w:p>
          <w:p w:rsidR="00C923A7" w:rsidRPr="00E729EF" w:rsidRDefault="00C923A7" w:rsidP="00C923A7">
            <w:pPr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różne typy stresorów</w:t>
            </w:r>
          </w:p>
          <w:p w:rsidR="00C923A7" w:rsidRPr="00E729EF" w:rsidRDefault="00C923A7" w:rsidP="00C923A7">
            <w:pPr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sposoby radzenia sobie ze stresem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przedstawia skutki nadczynności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niedoczynności tarczycy</w:t>
            </w:r>
          </w:p>
          <w:p w:rsidR="00C923A7" w:rsidRPr="00E729EF" w:rsidRDefault="00C923A7" w:rsidP="00C923A7">
            <w:pPr>
              <w:numPr>
                <w:ilvl w:val="0"/>
                <w:numId w:val="1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proponuje inne niż wymienione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podręczniku sposoby radzenia sobie ze stresem</w:t>
            </w: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przebieg reakcji stresowej</w:t>
            </w:r>
          </w:p>
          <w:p w:rsidR="00C923A7" w:rsidRPr="00E729EF" w:rsidRDefault="00C923A7" w:rsidP="00C923A7">
            <w:pPr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argumenty przemawiające za tym, że stres może być „dobry” i na to, że stres może być „zły”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jaką rolę odgrywa podwzgórze w reakcji stresowej</w:t>
            </w:r>
          </w:p>
          <w:p w:rsidR="00C923A7" w:rsidRPr="00E729EF" w:rsidRDefault="00C923A7" w:rsidP="00C923A7">
            <w:pPr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porównuje stres krótkotrwały ze stresem długotrwałym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na podstawie różnych źródeł informacji zmiany, które zachodzą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organizmie podczas krótkotrwałego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długotrwałego stresu</w:t>
            </w:r>
          </w:p>
        </w:tc>
      </w:tr>
      <w:tr w:rsidR="00C923A7" w:rsidRPr="00E729EF" w:rsidTr="00E729EF">
        <w:tc>
          <w:tcPr>
            <w:tcW w:w="215" w:type="pct"/>
            <w:shd w:val="clear" w:color="auto" w:fill="FFFFFF"/>
          </w:tcPr>
          <w:p w:rsidR="00C923A7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</w:t>
            </w:r>
          </w:p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4785" w:type="pct"/>
            <w:gridSpan w:val="6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Powtórzenie i sprawdzenie stopnia opanowania wiadomości i umiejętności z rozdziału „Układ hormonalny”</w:t>
            </w:r>
          </w:p>
        </w:tc>
      </w:tr>
      <w:tr w:rsidR="00C923A7" w:rsidRPr="00E729EF" w:rsidTr="00E729EF">
        <w:tc>
          <w:tcPr>
            <w:tcW w:w="5000" w:type="pct"/>
            <w:gridSpan w:val="7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Rozdział 12. Rozmnażanie i rozwój człowieka</w:t>
            </w:r>
          </w:p>
        </w:tc>
      </w:tr>
      <w:tr w:rsidR="00C923A7" w:rsidRPr="00E729EF" w:rsidTr="00E729EF">
        <w:trPr>
          <w:cantSplit/>
          <w:trHeight w:val="1134"/>
        </w:trPr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27.</w:t>
            </w: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Budowa i funkcje męskich narządów rozrodczych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pierwszo-, drugo- i trzeciorzędowe męskie cechy płciowe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elementów męskiego układu rozrodczego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funkcje męskich narządów płciowych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budowę plemnika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podaje, co to jest sperma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budowę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funkcje męskich narządów rozrodczych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rozpoznaje na schemacie elementy męskiego układu rozrodczego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plemnika</w:t>
            </w:r>
          </w:p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poszczególnych elementów męskiego układu rozrodczego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określa funkcje elementów plemnika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określa rolę spermy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sposób przedostania się plemników do dróg rodnych kobiety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znaczenie budowy i funkcji prącia w dostarczaniu plemników do organizmu kobiety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dlaczego jądra są zarówno gonadami, jak i narządami wydzielania wewnętrznego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uzasadnia związek między budową męskich narządów płciowych a ich funkcją</w:t>
            </w:r>
          </w:p>
        </w:tc>
      </w:tr>
      <w:tr w:rsidR="00C923A7" w:rsidRPr="00E729EF" w:rsidTr="00E729EF"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Budowa i funkcje żeńskich narządów rozrodczych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wymienia pierwszo-, drugo- </w:t>
            </w:r>
            <w:r w:rsidRPr="00E729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 trzeciorzędowe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 żeńskie cechy płciowe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elementów budujących żeński układ rozrodczy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funkcje żeńskich narządów płciowych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pojęcie: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cykl menstruacyjny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fazy cyklu menstruacyjnego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hormonów regulujących przebieg cyklu menstruacyjnego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budowę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funkcje żeńskich narządów rozrodczych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rozróżnia zewnętrzne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wewnętrzne narządy żeńskiego układu rozrodczego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określa rolę jajników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rozpoznaje na schemacie elementy żeńskiego układu rozrodczego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 funkcje żeńskich hormonów przysadkowych i jajnikowych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i funkcję komórki jajowej</w:t>
            </w: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budowę poszczególnych elementów żeńskiego układu rozrodczego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w jaki sposób żeński układ rozrodczy jest przystosowany do ciąży i porodu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zmiany zachodzące w błonie śluzowej macicy w czasie cyklu menstruacyjnego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określa zmiany zachodzące w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jajnikach w czasie cyklu miesiączkowego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wyjaśnia, na czym polega hormonalna regulacja cyklu miesiączkowego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opisuje zmiany, które zachodzą w jajniku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i w macicy podczas poszczególnych faz cyklu menstruacyjnego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wyjaśnia potrzebę stosowania syntetycznych żeńskich hormonów płciowych w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regulacji cyklu miesiączkowego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uzasadnia związek między budową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a funkcjami żeńskich narządów płciowych</w:t>
            </w:r>
          </w:p>
          <w:p w:rsidR="00C923A7" w:rsidRPr="00E729EF" w:rsidRDefault="00C923A7" w:rsidP="00C923A7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wykazuje, że w przypadku zaburzeń cyklu menstruacyjnego jest konieczność stosowania syntetycznych żeńskich hormonów płciowych</w:t>
            </w:r>
          </w:p>
        </w:tc>
      </w:tr>
      <w:tr w:rsidR="00C923A7" w:rsidRPr="00E729EF" w:rsidTr="00E729EF"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Rozwój człowieka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definiuje pojęcie: </w:t>
            </w: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zapłodnienie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nazwy etapów rozwoju zarodkowego i rozwoju płodowego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rolę owodni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funkcje łożyska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zmiany zachodzące w organizmie kobiety w okresie ciąży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czynniki wpływające na przebieg ciąży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wymienia nazwy badań prenatalnych 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etapy rozwoju postnatalnego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opisuje przebieg okresu zarodkowego i okresu płodowego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określa funkcje owodni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znaczenie łożyska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ocenia znaczenie diagnostyki prenatalnej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etapy rozwoju postnatalnego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skutki wydłużania się okresu starości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substancje, które są transportowane przez łożysko</w:t>
            </w: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przebieg zapłodnienia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etapy rozwoju zarodkowego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rozwój płodowy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przebieg implantacji zarodka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budowę łożyska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ocenia znaczenie bariery, którą tworzy łożysko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działania, dzięki którym można ograniczyć negatywne skutki wydłużania się okresu starości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wędrówkę plemników w żeńskim układzie rozrodczym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metody badań prenatalnych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porządkuje informacje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z różnych źródeł dotyczące stosowania właściwej diety i prowadzenia właściwego stylu życia przez kobietę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 czasie ciąży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oraz przedstawia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je na forum klasy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propozycje obniżenia kosztów społecznych związanych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z wydłużaniem się okresu starości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podaje argumenty przemawiające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za wykonywaniem badań prenatalnych</w:t>
            </w:r>
          </w:p>
        </w:tc>
      </w:tr>
      <w:tr w:rsidR="00C923A7" w:rsidRPr="00E729EF" w:rsidTr="00E729EF"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589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Higiena i choroby układu rozrodczego</w:t>
            </w:r>
          </w:p>
        </w:tc>
        <w:tc>
          <w:tcPr>
            <w:tcW w:w="1007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zasady higieny miejsc intymnych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metody diagnozowania chorób układu rozrodczego (badania cytologiczne, USG jamy brzusznej, badanie krwi, mammografia)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wymienia nazwy chorób układu rozrodczego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chorób przenoszonych drogą płciową (kiła, rzeżączka, </w:t>
            </w:r>
            <w:proofErr w:type="spellStart"/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chlamydioza</w:t>
            </w:r>
            <w:proofErr w:type="spellEnd"/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, rzęsistkowica, zakażenie HPV, grzybice)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wymienia zasady zapobiegania rozprzestrzenianiu się chorób przenoszonych drogą płciową</w:t>
            </w:r>
          </w:p>
        </w:tc>
        <w:tc>
          <w:tcPr>
            <w:tcW w:w="91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ocenia zagrożenia wynikające z zakażenia chorobami przenoszonymi drogą płciową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metody diagnozowania chorób układu rozrodczego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 xml:space="preserve">przyporządkowuje chorobom układu 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rozrodczego źródła zakażenia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profilaktykę raka jądra i przerostu gruczołu krokowego</w:t>
            </w:r>
          </w:p>
        </w:tc>
        <w:tc>
          <w:tcPr>
            <w:tcW w:w="783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charakteryzuje wybrane choroby układu rozrodczego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przedstawia działania, które pozwalają ustrzec się przed chorobami przenoszonymi drogą płciową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omawia znaczenie wczesnej diagnostyki chorób układu rozrodczego (rak jadra, rak szyjki macicy, rak jajnika, przerost gruczołu krokowego)</w:t>
            </w:r>
          </w:p>
        </w:tc>
        <w:tc>
          <w:tcPr>
            <w:tcW w:w="701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lastRenderedPageBreak/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omawia metody diagnozowania i profilaktyki raka szyjki macicy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konstruuje zalecenia dotyczące przestrzegania zasad higieny okolic intymnych</w:t>
            </w:r>
          </w:p>
        </w:tc>
        <w:tc>
          <w:tcPr>
            <w:tcW w:w="792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i/>
                <w:lang w:eastAsia="pl-PL"/>
              </w:rPr>
              <w:t>Uczeń: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t>wykazuje znaczenie, jakie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dla zachowania zdrowia mają regularne wizyty kobiet u ginekologa, a mężczyzn – u urologa</w:t>
            </w:r>
          </w:p>
          <w:p w:rsidR="00C923A7" w:rsidRPr="00E729EF" w:rsidRDefault="00C923A7" w:rsidP="00C923A7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podaje argumenty przemawiające za przeprowadzaniem częstych badań kontrolnych, dzięki którym można wykryć chorobę nowotworową</w:t>
            </w:r>
            <w:r w:rsidRPr="00E729EF">
              <w:rPr>
                <w:rFonts w:ascii="Times New Roman" w:eastAsia="Times New Roman" w:hAnsi="Times New Roman" w:cs="Times New Roman"/>
                <w:lang w:eastAsia="pl-PL"/>
              </w:rPr>
              <w:br/>
              <w:t>we wczesnym stadium</w:t>
            </w:r>
          </w:p>
        </w:tc>
      </w:tr>
      <w:tr w:rsidR="00C923A7" w:rsidRPr="00E729EF" w:rsidTr="00E729EF">
        <w:tc>
          <w:tcPr>
            <w:tcW w:w="215" w:type="pct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31</w:t>
            </w:r>
            <w:bookmarkStart w:id="2" w:name="_GoBack"/>
            <w:bookmarkEnd w:id="2"/>
          </w:p>
        </w:tc>
        <w:tc>
          <w:tcPr>
            <w:tcW w:w="4785" w:type="pct"/>
            <w:gridSpan w:val="6"/>
            <w:shd w:val="clear" w:color="auto" w:fill="FFFFFF"/>
          </w:tcPr>
          <w:p w:rsidR="00C923A7" w:rsidRPr="00E729EF" w:rsidRDefault="00C923A7" w:rsidP="00C923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E729EF">
              <w:rPr>
                <w:rFonts w:ascii="Times New Roman" w:eastAsia="Times New Roman" w:hAnsi="Times New Roman" w:cs="Times New Roman"/>
                <w:b/>
                <w:lang w:eastAsia="pl-PL"/>
              </w:rPr>
              <w:t>Powtórzenie i sprawdzenie stopnia opanowania wiadomości i umiejętności z rozdziału „Rozmnażanie i rozwój człowieka”</w:t>
            </w:r>
          </w:p>
        </w:tc>
      </w:tr>
    </w:tbl>
    <w:p w:rsidR="00E729EF" w:rsidRPr="00E729EF" w:rsidRDefault="00E729EF" w:rsidP="00E729EF">
      <w:pPr>
        <w:tabs>
          <w:tab w:val="left" w:pos="12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29EF" w:rsidRPr="00E729EF" w:rsidRDefault="00E729EF" w:rsidP="00E729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729EF">
        <w:rPr>
          <w:rFonts w:ascii="Times New Roman" w:eastAsia="Times New Roman" w:hAnsi="Times New Roman" w:cs="Times New Roman"/>
          <w:i/>
          <w:lang w:eastAsia="pl-PL"/>
        </w:rPr>
        <w:t>Autorka: Małgorzata Miękus</w:t>
      </w:r>
    </w:p>
    <w:p w:rsidR="000C45E4" w:rsidRDefault="000C45E4"/>
    <w:sectPr w:rsidR="000C45E4" w:rsidSect="00E729EF">
      <w:headerReference w:type="default" r:id="rId7"/>
      <w:footerReference w:type="default" r:id="rId8"/>
      <w:pgSz w:w="16838" w:h="11906" w:orient="landscape"/>
      <w:pgMar w:top="709" w:right="397" w:bottom="155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9BF" w:rsidRDefault="008B49BF" w:rsidP="00E729EF">
      <w:pPr>
        <w:spacing w:after="0" w:line="240" w:lineRule="auto"/>
      </w:pPr>
      <w:r>
        <w:separator/>
      </w:r>
    </w:p>
  </w:endnote>
  <w:endnote w:type="continuationSeparator" w:id="0">
    <w:p w:rsidR="008B49BF" w:rsidRDefault="008B49BF" w:rsidP="00E72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9EF" w:rsidRDefault="00E729EF">
    <w:pPr>
      <w:pStyle w:val="Stopka"/>
    </w:pPr>
  </w:p>
  <w:p w:rsidR="00E729EF" w:rsidRDefault="00E729EF">
    <w:pPr>
      <w:pStyle w:val="Stopka"/>
    </w:pPr>
    <w:r>
      <w:rPr>
        <w:noProof/>
      </w:rPr>
      <w:drawing>
        <wp:inline distT="0" distB="0" distL="0" distR="0">
          <wp:extent cx="3101340" cy="381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9BF" w:rsidRDefault="008B49BF" w:rsidP="00E729EF">
      <w:pPr>
        <w:spacing w:after="0" w:line="240" w:lineRule="auto"/>
      </w:pPr>
      <w:r>
        <w:separator/>
      </w:r>
    </w:p>
  </w:footnote>
  <w:footnote w:type="continuationSeparator" w:id="0">
    <w:p w:rsidR="008B49BF" w:rsidRDefault="008B49BF" w:rsidP="00E72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3A7" w:rsidRDefault="00C923A7" w:rsidP="00E729EF">
    <w:pPr>
      <w:spacing w:after="120" w:line="276" w:lineRule="auto"/>
      <w:contextualSpacing/>
      <w:rPr>
        <w:rFonts w:ascii="Times New Roman" w:eastAsia="Times New Roman" w:hAnsi="Times New Roman" w:cs="Times New Roman"/>
        <w:b/>
        <w:sz w:val="28"/>
        <w:szCs w:val="28"/>
        <w:lang w:eastAsia="pl-PL"/>
      </w:rPr>
    </w:pPr>
  </w:p>
  <w:p w:rsidR="00E729EF" w:rsidRPr="00E729EF" w:rsidRDefault="00E729EF" w:rsidP="00E729EF">
    <w:pPr>
      <w:spacing w:after="120" w:line="276" w:lineRule="auto"/>
      <w:contextualSpacing/>
      <w:rPr>
        <w:rFonts w:ascii="Times New Roman" w:eastAsia="Times New Roman" w:hAnsi="Times New Roman" w:cs="Times New Roman"/>
        <w:b/>
        <w:sz w:val="28"/>
        <w:szCs w:val="28"/>
        <w:lang w:eastAsia="pl-PL"/>
      </w:rPr>
    </w:pPr>
    <w:r w:rsidRPr="00E729EF">
      <w:rPr>
        <w:rFonts w:ascii="Times New Roman" w:eastAsia="Times New Roman" w:hAnsi="Times New Roman" w:cs="Times New Roman"/>
        <w:b/>
        <w:sz w:val="28"/>
        <w:szCs w:val="28"/>
        <w:lang w:eastAsia="pl-PL"/>
      </w:rPr>
      <w:t xml:space="preserve">Wymagania edukacyjne. Klasa </w:t>
    </w:r>
    <w:r>
      <w:rPr>
        <w:rFonts w:ascii="Times New Roman" w:eastAsia="Times New Roman" w:hAnsi="Times New Roman" w:cs="Times New Roman"/>
        <w:b/>
        <w:sz w:val="28"/>
        <w:szCs w:val="28"/>
        <w:lang w:eastAsia="pl-PL"/>
      </w:rPr>
      <w:t>3</w:t>
    </w:r>
    <w:r w:rsidRPr="00E729EF">
      <w:rPr>
        <w:rFonts w:ascii="Times New Roman" w:eastAsia="Times New Roman" w:hAnsi="Times New Roman" w:cs="Times New Roman"/>
        <w:b/>
        <w:sz w:val="28"/>
        <w:szCs w:val="28"/>
        <w:lang w:eastAsia="pl-PL"/>
      </w:rPr>
      <w:t>. Zakres podstawowy.  Biologia na czasie 2 (1 godz. tygodniowo)</w:t>
    </w:r>
  </w:p>
  <w:p w:rsidR="00E729EF" w:rsidRPr="00E729EF" w:rsidRDefault="00E729EF" w:rsidP="00E729EF">
    <w:pPr>
      <w:spacing w:after="120" w:line="276" w:lineRule="auto"/>
      <w:ind w:left="-709" w:firstLine="709"/>
      <w:contextualSpacing/>
      <w:rPr>
        <w:rFonts w:ascii="Times New Roman" w:eastAsia="Times New Roman" w:hAnsi="Times New Roman" w:cs="Times New Roman"/>
        <w:b/>
        <w:sz w:val="28"/>
        <w:szCs w:val="28"/>
        <w:lang w:eastAsia="pl-PL"/>
      </w:rPr>
    </w:pPr>
    <w:r>
      <w:rPr>
        <w:rFonts w:ascii="Times New Roman" w:eastAsia="Times New Roman" w:hAnsi="Times New Roman" w:cs="Times New Roman"/>
        <w:b/>
        <w:sz w:val="28"/>
        <w:szCs w:val="28"/>
        <w:lang w:eastAsia="pl-PL"/>
      </w:rPr>
      <w:t xml:space="preserve"> </w:t>
    </w:r>
  </w:p>
  <w:p w:rsidR="00E729EF" w:rsidRDefault="00E729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33EA"/>
    <w:multiLevelType w:val="hybridMultilevel"/>
    <w:tmpl w:val="B1B4B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B7170"/>
    <w:multiLevelType w:val="hybridMultilevel"/>
    <w:tmpl w:val="0A0A6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F28FA"/>
    <w:multiLevelType w:val="hybridMultilevel"/>
    <w:tmpl w:val="27822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1267B"/>
    <w:multiLevelType w:val="hybridMultilevel"/>
    <w:tmpl w:val="C9F65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47CC7"/>
    <w:multiLevelType w:val="hybridMultilevel"/>
    <w:tmpl w:val="243EA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A4AEB"/>
    <w:multiLevelType w:val="hybridMultilevel"/>
    <w:tmpl w:val="4D205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12B82"/>
    <w:multiLevelType w:val="hybridMultilevel"/>
    <w:tmpl w:val="7FFA1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401DB"/>
    <w:multiLevelType w:val="hybridMultilevel"/>
    <w:tmpl w:val="A0124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357CA"/>
    <w:multiLevelType w:val="hybridMultilevel"/>
    <w:tmpl w:val="FF422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C2F0C"/>
    <w:multiLevelType w:val="hybridMultilevel"/>
    <w:tmpl w:val="4CA00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15360"/>
    <w:multiLevelType w:val="hybridMultilevel"/>
    <w:tmpl w:val="E594E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C0DEE"/>
    <w:multiLevelType w:val="hybridMultilevel"/>
    <w:tmpl w:val="2F289C2A"/>
    <w:lvl w:ilvl="0" w:tplc="9E103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349A2"/>
    <w:multiLevelType w:val="hybridMultilevel"/>
    <w:tmpl w:val="15D0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91871"/>
    <w:multiLevelType w:val="hybridMultilevel"/>
    <w:tmpl w:val="E234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44C65"/>
    <w:multiLevelType w:val="hybridMultilevel"/>
    <w:tmpl w:val="A8CC2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B1FA1"/>
    <w:multiLevelType w:val="hybridMultilevel"/>
    <w:tmpl w:val="E11463B0"/>
    <w:lvl w:ilvl="0" w:tplc="D914978E">
      <w:start w:val="1"/>
      <w:numFmt w:val="decimal"/>
      <w:lvlText w:val="%1."/>
      <w:lvlJc w:val="left"/>
      <w:pPr>
        <w:ind w:left="720" w:hanging="493"/>
      </w:pPr>
      <w:rPr>
        <w:rFonts w:hint="default"/>
        <w:b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F1813"/>
    <w:multiLevelType w:val="hybridMultilevel"/>
    <w:tmpl w:val="0DF86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433A9"/>
    <w:multiLevelType w:val="hybridMultilevel"/>
    <w:tmpl w:val="DD6AB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A76205"/>
    <w:multiLevelType w:val="hybridMultilevel"/>
    <w:tmpl w:val="EBF47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064B9"/>
    <w:multiLevelType w:val="hybridMultilevel"/>
    <w:tmpl w:val="ADDC4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D3CB8"/>
    <w:multiLevelType w:val="hybridMultilevel"/>
    <w:tmpl w:val="59CEC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6"/>
  </w:num>
  <w:num w:numId="5">
    <w:abstractNumId w:val="4"/>
  </w:num>
  <w:num w:numId="6">
    <w:abstractNumId w:val="14"/>
  </w:num>
  <w:num w:numId="7">
    <w:abstractNumId w:val="16"/>
  </w:num>
  <w:num w:numId="8">
    <w:abstractNumId w:val="12"/>
  </w:num>
  <w:num w:numId="9">
    <w:abstractNumId w:val="18"/>
  </w:num>
  <w:num w:numId="10">
    <w:abstractNumId w:val="9"/>
  </w:num>
  <w:num w:numId="11">
    <w:abstractNumId w:val="2"/>
  </w:num>
  <w:num w:numId="12">
    <w:abstractNumId w:val="19"/>
  </w:num>
  <w:num w:numId="13">
    <w:abstractNumId w:val="13"/>
  </w:num>
  <w:num w:numId="14">
    <w:abstractNumId w:val="8"/>
  </w:num>
  <w:num w:numId="15">
    <w:abstractNumId w:val="17"/>
  </w:num>
  <w:num w:numId="16">
    <w:abstractNumId w:val="20"/>
  </w:num>
  <w:num w:numId="17">
    <w:abstractNumId w:val="10"/>
  </w:num>
  <w:num w:numId="18">
    <w:abstractNumId w:val="3"/>
  </w:num>
  <w:num w:numId="19">
    <w:abstractNumId w:val="7"/>
  </w:num>
  <w:num w:numId="20">
    <w:abstractNumId w:val="1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EF"/>
    <w:rsid w:val="000C45E4"/>
    <w:rsid w:val="008B49BF"/>
    <w:rsid w:val="00C923A7"/>
    <w:rsid w:val="00E7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2F45E"/>
  <w15:chartTrackingRefBased/>
  <w15:docId w15:val="{4AD1E39B-6EF6-426D-AC50-88EBFAE3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729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729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2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2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3201</Words>
  <Characters>19210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12</dc:creator>
  <cp:keywords/>
  <dc:description/>
  <cp:lastModifiedBy>Sala 12</cp:lastModifiedBy>
  <cp:revision>1</cp:revision>
  <dcterms:created xsi:type="dcterms:W3CDTF">2026-08-27T06:40:00Z</dcterms:created>
  <dcterms:modified xsi:type="dcterms:W3CDTF">2026-08-27T07:00:00Z</dcterms:modified>
</cp:coreProperties>
</file>