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2294" w:rsidRDefault="009E5460">
      <w:pPr>
        <w:spacing w:after="407" w:line="259" w:lineRule="auto"/>
      </w:pPr>
      <w:r>
        <w:rPr>
          <w:b w:val="0"/>
          <w:sz w:val="22"/>
        </w:rPr>
        <w:t xml:space="preserve"> </w:t>
      </w:r>
    </w:p>
    <w:p w:rsidR="000B2294" w:rsidRDefault="001F0818">
      <w:r>
        <w:t xml:space="preserve">WYMAGANIA EDUKACYJNE DLA PRACOWNI OBSŁUGI GOŚCI W RECEPCJI </w:t>
      </w:r>
      <w:bookmarkStart w:id="0" w:name="_GoBack"/>
      <w:bookmarkEnd w:id="0"/>
      <w:r w:rsidR="009E5460">
        <w:t xml:space="preserve"> </w:t>
      </w:r>
      <w:r w:rsidR="009E5460">
        <w:br w:type="page"/>
      </w:r>
    </w:p>
    <w:p w:rsidR="000B2294" w:rsidRDefault="000B2294">
      <w:pPr>
        <w:spacing w:line="259" w:lineRule="auto"/>
        <w:ind w:left="-1416" w:right="15301"/>
      </w:pPr>
    </w:p>
    <w:tbl>
      <w:tblPr>
        <w:tblStyle w:val="TableGrid"/>
        <w:tblW w:w="13996" w:type="dxa"/>
        <w:tblInd w:w="665" w:type="dxa"/>
        <w:tblCellMar>
          <w:top w:w="61" w:type="dxa"/>
          <w:left w:w="108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551"/>
        <w:gridCol w:w="2049"/>
        <w:gridCol w:w="2233"/>
        <w:gridCol w:w="2203"/>
        <w:gridCol w:w="2372"/>
        <w:gridCol w:w="2346"/>
        <w:gridCol w:w="2242"/>
      </w:tblGrid>
      <w:tr w:rsidR="000B2294">
        <w:trPr>
          <w:trHeight w:val="69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Lp.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DZIAŁY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OCENA </w:t>
            </w:r>
          </w:p>
          <w:p w:rsidR="000B2294" w:rsidRDefault="009E5460">
            <w:pPr>
              <w:spacing w:line="259" w:lineRule="auto"/>
              <w:jc w:val="both"/>
            </w:pPr>
            <w:r>
              <w:rPr>
                <w:b w:val="0"/>
                <w:sz w:val="28"/>
              </w:rPr>
              <w:t xml:space="preserve">DOPUSZCZAJĄCA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OCENA </w:t>
            </w:r>
          </w:p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DOSTATECZNA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OCENA DOBRA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OCENA BARDZO DOBRA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  <w:jc w:val="both"/>
            </w:pPr>
            <w:r>
              <w:rPr>
                <w:b w:val="0"/>
                <w:sz w:val="28"/>
              </w:rPr>
              <w:t xml:space="preserve">OCENA CELUJĄCA </w:t>
            </w:r>
          </w:p>
        </w:tc>
      </w:tr>
      <w:tr w:rsidR="000B2294">
        <w:trPr>
          <w:trHeight w:val="4455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1.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Powtórzenie poznanych wiadomości z klasy IV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Uczeń: definiuje pojęcie procedur meldunku; identyfikuje gościa indywidualnego, grupowego i VIP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after="1" w:line="239" w:lineRule="auto"/>
            </w:pPr>
            <w:r>
              <w:rPr>
                <w:b w:val="0"/>
                <w:sz w:val="28"/>
              </w:rPr>
              <w:t xml:space="preserve">Uczeń: zna zastosowanie przepisów </w:t>
            </w:r>
          </w:p>
          <w:p w:rsidR="000B2294" w:rsidRDefault="009E5460">
            <w:pPr>
              <w:spacing w:line="259" w:lineRule="auto"/>
              <w:jc w:val="both"/>
            </w:pPr>
            <w:r>
              <w:rPr>
                <w:b w:val="0"/>
                <w:sz w:val="28"/>
              </w:rPr>
              <w:t>meldunkowych</w:t>
            </w:r>
            <w:r>
              <w:rPr>
                <w:b w:val="0"/>
                <w:sz w:val="28"/>
              </w:rPr>
              <w:t xml:space="preserve"> w </w:t>
            </w:r>
          </w:p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działalności hotelarskiej.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40" w:lineRule="auto"/>
              <w:ind w:right="236"/>
              <w:jc w:val="both"/>
            </w:pPr>
            <w:r>
              <w:rPr>
                <w:b w:val="0"/>
                <w:sz w:val="28"/>
              </w:rPr>
              <w:t>Uczeń:</w:t>
            </w:r>
            <w:r>
              <w:rPr>
                <w:b w:val="0"/>
                <w:sz w:val="22"/>
              </w:rPr>
              <w:t xml:space="preserve"> </w:t>
            </w:r>
            <w:r>
              <w:rPr>
                <w:b w:val="0"/>
                <w:sz w:val="28"/>
              </w:rPr>
              <w:t xml:space="preserve">udziela informacji o przepisach  meldunkowych w </w:t>
            </w:r>
          </w:p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Polsce. 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  <w:ind w:right="426"/>
            </w:pPr>
            <w:r>
              <w:rPr>
                <w:b w:val="0"/>
                <w:sz w:val="28"/>
              </w:rPr>
              <w:t xml:space="preserve">Uczeń: zna zastosowanie przepisów meldunkowych poszczególnych krajów UE  w działalności hotelarskiej.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after="23" w:line="239" w:lineRule="auto"/>
              <w:ind w:right="193"/>
              <w:jc w:val="both"/>
            </w:pPr>
            <w:r>
              <w:rPr>
                <w:b w:val="0"/>
                <w:sz w:val="28"/>
              </w:rPr>
              <w:t xml:space="preserve"> Uczeń:</w:t>
            </w:r>
            <w:r>
              <w:rPr>
                <w:b w:val="0"/>
                <w:sz w:val="22"/>
              </w:rPr>
              <w:t xml:space="preserve"> </w:t>
            </w:r>
            <w:r>
              <w:rPr>
                <w:b w:val="0"/>
                <w:sz w:val="28"/>
              </w:rPr>
              <w:t xml:space="preserve">wskazuje akty prawne regulujące obowiązek meldunkowy  w krajach UE; </w:t>
            </w:r>
          </w:p>
          <w:p w:rsidR="000B2294" w:rsidRDefault="009E5460">
            <w:pPr>
              <w:spacing w:line="244" w:lineRule="auto"/>
              <w:jc w:val="both"/>
            </w:pPr>
            <w:r>
              <w:rPr>
                <w:b w:val="0"/>
                <w:sz w:val="22"/>
              </w:rPr>
              <w:t>porównuje</w:t>
            </w:r>
            <w:r>
              <w:rPr>
                <w:b w:val="0"/>
                <w:sz w:val="28"/>
              </w:rPr>
              <w:t xml:space="preserve"> przepisy meldunkowe w </w:t>
            </w:r>
          </w:p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krajach  </w:t>
            </w:r>
          </w:p>
          <w:p w:rsidR="000B2294" w:rsidRDefault="009E5460">
            <w:pPr>
              <w:spacing w:line="259" w:lineRule="auto"/>
              <w:ind w:right="135"/>
            </w:pPr>
            <w:r>
              <w:rPr>
                <w:b w:val="0"/>
                <w:sz w:val="28"/>
              </w:rPr>
              <w:t xml:space="preserve">UE w odniesieniu do przepisów w naszym  kraju. </w:t>
            </w:r>
          </w:p>
        </w:tc>
      </w:tr>
      <w:tr w:rsidR="000B2294">
        <w:trPr>
          <w:trHeight w:val="206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2.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Płatność  </w:t>
            </w:r>
          </w:p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Gotówkowa - ćwiczenia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omawia </w:t>
            </w:r>
          </w:p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rozliczenie gotówkowe;  </w:t>
            </w:r>
            <w:r>
              <w:rPr>
                <w:b w:val="0"/>
                <w:sz w:val="28"/>
              </w:rPr>
              <w:t xml:space="preserve">charakteryzuje obrót gotówkowy w hotelu;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wymienia </w:t>
            </w:r>
          </w:p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dowody kasowe </w:t>
            </w:r>
          </w:p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(KP, KW);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after="2" w:line="239" w:lineRule="auto"/>
            </w:pPr>
            <w:r>
              <w:rPr>
                <w:b w:val="0"/>
                <w:sz w:val="28"/>
              </w:rPr>
              <w:t xml:space="preserve">przyjmuje płatność gotówkową za </w:t>
            </w:r>
          </w:p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wynajmowane </w:t>
            </w:r>
          </w:p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pokoje i inne  usługi hotelowe; 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after="2" w:line="239" w:lineRule="auto"/>
            </w:pPr>
            <w:r>
              <w:rPr>
                <w:b w:val="0"/>
                <w:sz w:val="28"/>
              </w:rPr>
              <w:t xml:space="preserve">sporządza raport kasowy;  </w:t>
            </w:r>
          </w:p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rozlicza zapłatę czekiem gotówkowym;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analizuje procedurę rozliczania należności  </w:t>
            </w:r>
          </w:p>
        </w:tc>
      </w:tr>
    </w:tbl>
    <w:p w:rsidR="000B2294" w:rsidRDefault="000B2294">
      <w:pPr>
        <w:spacing w:line="259" w:lineRule="auto"/>
        <w:ind w:left="-1416" w:right="15301"/>
      </w:pPr>
    </w:p>
    <w:tbl>
      <w:tblPr>
        <w:tblStyle w:val="TableGrid"/>
        <w:tblW w:w="13996" w:type="dxa"/>
        <w:tblInd w:w="665" w:type="dxa"/>
        <w:tblCellMar>
          <w:top w:w="61" w:type="dxa"/>
          <w:left w:w="108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552"/>
        <w:gridCol w:w="2057"/>
        <w:gridCol w:w="2235"/>
        <w:gridCol w:w="2208"/>
        <w:gridCol w:w="2376"/>
        <w:gridCol w:w="2319"/>
        <w:gridCol w:w="2249"/>
      </w:tblGrid>
      <w:tr w:rsidR="000B2294">
        <w:trPr>
          <w:trHeight w:val="103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0B2294">
            <w:pPr>
              <w:spacing w:after="160" w:line="259" w:lineRule="auto"/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0B2294">
            <w:pPr>
              <w:spacing w:after="160" w:line="259" w:lineRule="auto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0B2294">
            <w:pPr>
              <w:spacing w:after="160" w:line="259" w:lineRule="auto"/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0B2294">
            <w:pPr>
              <w:spacing w:after="160" w:line="259" w:lineRule="auto"/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dokonuje zwrotu nadpłaconej przez gościa należności.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0B2294">
            <w:pPr>
              <w:spacing w:after="160" w:line="259" w:lineRule="auto"/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  <w:ind w:right="2"/>
            </w:pPr>
            <w:r>
              <w:rPr>
                <w:b w:val="0"/>
                <w:sz w:val="28"/>
              </w:rPr>
              <w:t xml:space="preserve">gotówką, wypełnia przekaz i właściwe druki </w:t>
            </w:r>
          </w:p>
        </w:tc>
      </w:tr>
      <w:tr w:rsidR="000B2294">
        <w:trPr>
          <w:trHeight w:val="616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3.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Stosowanie zasad płatności  kartami płatniczymi - ćwiczenia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definiuje kartę płatniczą;  </w:t>
            </w:r>
            <w:r>
              <w:rPr>
                <w:b w:val="0"/>
                <w:sz w:val="28"/>
              </w:rPr>
              <w:t xml:space="preserve">wymienia rodzaje kart płatniczych;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39" w:lineRule="auto"/>
            </w:pPr>
            <w:r>
              <w:rPr>
                <w:b w:val="0"/>
                <w:sz w:val="28"/>
              </w:rPr>
              <w:t xml:space="preserve">klasyfikuje karty według zasięgu ich </w:t>
            </w:r>
          </w:p>
          <w:p w:rsidR="000B2294" w:rsidRDefault="009E5460">
            <w:pPr>
              <w:spacing w:after="1" w:line="239" w:lineRule="auto"/>
              <w:ind w:right="12"/>
            </w:pPr>
            <w:r>
              <w:rPr>
                <w:b w:val="0"/>
                <w:sz w:val="28"/>
              </w:rPr>
              <w:t xml:space="preserve">funkcjonowania;  dokonuje podziału kart według segmentu zamożności </w:t>
            </w:r>
          </w:p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gości;  </w:t>
            </w:r>
          </w:p>
          <w:p w:rsidR="000B2294" w:rsidRDefault="009E5460">
            <w:pPr>
              <w:spacing w:line="259" w:lineRule="auto"/>
              <w:jc w:val="both"/>
            </w:pPr>
            <w:r>
              <w:rPr>
                <w:b w:val="0"/>
                <w:sz w:val="28"/>
              </w:rPr>
              <w:t xml:space="preserve">obsługuje czytnik </w:t>
            </w:r>
          </w:p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kart płatniczych; </w:t>
            </w:r>
          </w:p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 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after="2" w:line="239" w:lineRule="auto"/>
            </w:pPr>
            <w:r>
              <w:rPr>
                <w:b w:val="0"/>
                <w:sz w:val="28"/>
              </w:rPr>
              <w:t xml:space="preserve">omawia zasady płatności kartami </w:t>
            </w:r>
          </w:p>
          <w:p w:rsidR="000B2294" w:rsidRDefault="009E5460">
            <w:pPr>
              <w:spacing w:after="2" w:line="239" w:lineRule="auto"/>
              <w:ind w:right="10"/>
            </w:pPr>
            <w:r>
              <w:rPr>
                <w:b w:val="0"/>
                <w:sz w:val="28"/>
              </w:rPr>
              <w:t>płatniczymi; omawia zabezpiecze</w:t>
            </w:r>
            <w:r>
              <w:rPr>
                <w:b w:val="0"/>
                <w:sz w:val="28"/>
              </w:rPr>
              <w:t xml:space="preserve">nia kart płatniczych;  przyjmuje kartą płatniczą należność za </w:t>
            </w:r>
          </w:p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wynajmowanie </w:t>
            </w:r>
          </w:p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pokoi  </w:t>
            </w:r>
          </w:p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i inne usługi hotelowe;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  <w:ind w:right="114"/>
            </w:pPr>
            <w:r>
              <w:rPr>
                <w:b w:val="0"/>
                <w:sz w:val="28"/>
              </w:rPr>
              <w:t>identyfikuje różnego rodzaju karty płatnicze;  opisuje rewers i awers kart czołowych  organizacji je wydających;  ilustruje system elektronicznych</w:t>
            </w:r>
            <w:r>
              <w:rPr>
                <w:b w:val="0"/>
                <w:sz w:val="28"/>
              </w:rPr>
              <w:t xml:space="preserve"> transakcji;  przedstawia różnice między kartami  płatniczymi debetowymi, kredytowymi  i obciążeniowymi;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omawia zasadę </w:t>
            </w:r>
          </w:p>
          <w:p w:rsidR="000B2294" w:rsidRDefault="009E5460">
            <w:pPr>
              <w:spacing w:line="240" w:lineRule="auto"/>
            </w:pPr>
            <w:r>
              <w:rPr>
                <w:b w:val="0"/>
                <w:sz w:val="28"/>
              </w:rPr>
              <w:t xml:space="preserve">autoryzacji karty;  wyjaśnia istotę funkcji terminala POS (min.  </w:t>
            </w:r>
          </w:p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funkcji </w:t>
            </w:r>
          </w:p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dynamicznego </w:t>
            </w:r>
          </w:p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przewalutowania </w:t>
            </w:r>
          </w:p>
          <w:p w:rsidR="000B2294" w:rsidRDefault="009E5460">
            <w:pPr>
              <w:spacing w:line="259" w:lineRule="auto"/>
              <w:ind w:right="141"/>
            </w:pPr>
            <w:r>
              <w:rPr>
                <w:b w:val="0"/>
                <w:sz w:val="28"/>
              </w:rPr>
              <w:t xml:space="preserve">– dla  </w:t>
            </w:r>
            <w:r>
              <w:rPr>
                <w:b w:val="0"/>
                <w:sz w:val="28"/>
              </w:rPr>
              <w:t xml:space="preserve">zagranicznych kart płatniczych);  analizuje procedurę rozliczania należności  kartą płatniczą </w:t>
            </w:r>
          </w:p>
        </w:tc>
      </w:tr>
      <w:tr w:rsidR="000B2294">
        <w:trPr>
          <w:trHeight w:val="172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lastRenderedPageBreak/>
              <w:t xml:space="preserve">4.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Płatności za  usługi hotelarskie przelewem – ćwiczenia.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rozróżnia formy </w:t>
            </w:r>
          </w:p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płatności stosowane w sprzedaży usług  hotelarskich;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charakteryzuje </w:t>
            </w:r>
          </w:p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>bezgotówkowe</w:t>
            </w:r>
            <w:r>
              <w:rPr>
                <w:b w:val="0"/>
                <w:sz w:val="28"/>
              </w:rPr>
              <w:t xml:space="preserve"> </w:t>
            </w:r>
          </w:p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formy płatności;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omawia procedurę stosowaną przy zapłacie za usługi  hotelarskim przelewem,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wypełnia przekazy i druki;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ustala terminy płatności przelewem; </w:t>
            </w:r>
          </w:p>
        </w:tc>
      </w:tr>
    </w:tbl>
    <w:p w:rsidR="000B2294" w:rsidRDefault="000B2294">
      <w:pPr>
        <w:spacing w:line="259" w:lineRule="auto"/>
        <w:ind w:left="-1416" w:right="15301"/>
      </w:pPr>
    </w:p>
    <w:tbl>
      <w:tblPr>
        <w:tblStyle w:val="TableGrid"/>
        <w:tblW w:w="13996" w:type="dxa"/>
        <w:tblInd w:w="665" w:type="dxa"/>
        <w:tblCellMar>
          <w:top w:w="61" w:type="dxa"/>
          <w:left w:w="108" w:type="dxa"/>
          <w:bottom w:w="0" w:type="dxa"/>
          <w:right w:w="45" w:type="dxa"/>
        </w:tblCellMar>
        <w:tblLook w:val="04A0" w:firstRow="1" w:lastRow="0" w:firstColumn="1" w:lastColumn="0" w:noHBand="0" w:noVBand="1"/>
      </w:tblPr>
      <w:tblGrid>
        <w:gridCol w:w="552"/>
        <w:gridCol w:w="2057"/>
        <w:gridCol w:w="2235"/>
        <w:gridCol w:w="2208"/>
        <w:gridCol w:w="2376"/>
        <w:gridCol w:w="2319"/>
        <w:gridCol w:w="2249"/>
      </w:tblGrid>
      <w:tr w:rsidR="000B2294">
        <w:trPr>
          <w:trHeight w:val="343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5.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Obsługiwanie </w:t>
            </w:r>
          </w:p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kasy fiskalnej - wystawianie paragonów.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rozróżnia formy płatności stosowane w sprzedaży usług  hotelarskich;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after="2" w:line="239" w:lineRule="auto"/>
            </w:pPr>
            <w:r>
              <w:rPr>
                <w:b w:val="0"/>
                <w:sz w:val="28"/>
              </w:rPr>
              <w:t xml:space="preserve">obsługuje kasę fiskalną; omawia rozliczenie </w:t>
            </w:r>
          </w:p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gotówkowe;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przyjmuje </w:t>
            </w:r>
          </w:p>
          <w:p w:rsidR="000B2294" w:rsidRDefault="009E5460">
            <w:pPr>
              <w:spacing w:after="2" w:line="239" w:lineRule="auto"/>
            </w:pPr>
            <w:r>
              <w:rPr>
                <w:b w:val="0"/>
                <w:sz w:val="28"/>
              </w:rPr>
              <w:t xml:space="preserve">należność za wynajmowanie </w:t>
            </w:r>
          </w:p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pokoi i inne usługi  hotelowe;  dokonuje zwrotu nadpłaconej przez gościa należności; </w:t>
            </w:r>
            <w:r>
              <w:rPr>
                <w:b w:val="0"/>
                <w:sz w:val="28"/>
              </w:rPr>
              <w:t xml:space="preserve">obsługuje terminal POS.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after="2" w:line="239" w:lineRule="auto"/>
            </w:pPr>
            <w:r>
              <w:rPr>
                <w:b w:val="0"/>
                <w:sz w:val="28"/>
              </w:rPr>
              <w:t xml:space="preserve">stosuje obsługę kasy z użyciem kodów PLU, </w:t>
            </w:r>
          </w:p>
          <w:p w:rsidR="000B2294" w:rsidRDefault="009E5460">
            <w:pPr>
              <w:spacing w:line="259" w:lineRule="auto"/>
              <w:ind w:right="20"/>
            </w:pPr>
            <w:r>
              <w:rPr>
                <w:b w:val="0"/>
                <w:sz w:val="28"/>
              </w:rPr>
              <w:t xml:space="preserve">fiskalizuje rachunki za usługi noclegowe;   fiskalizuje rachunki za usługi gastronomiczne;  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  <w:ind w:right="45"/>
            </w:pPr>
            <w:r>
              <w:rPr>
                <w:b w:val="0"/>
                <w:sz w:val="28"/>
              </w:rPr>
              <w:t xml:space="preserve">fiskalizuje rachunki za usługi dodatkowe;  sporządza kasowe raporty </w:t>
            </w:r>
          </w:p>
        </w:tc>
      </w:tr>
      <w:tr w:rsidR="000B2294">
        <w:trPr>
          <w:trHeight w:val="513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lastRenderedPageBreak/>
              <w:t xml:space="preserve">6.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39" w:lineRule="auto"/>
            </w:pPr>
            <w:r>
              <w:rPr>
                <w:b w:val="0"/>
                <w:sz w:val="28"/>
              </w:rPr>
              <w:t xml:space="preserve">Prowadzenie dokumentacji  recepcji. </w:t>
            </w:r>
          </w:p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 Zamknięcie doby hotelowej.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after="2" w:line="239" w:lineRule="auto"/>
            </w:pPr>
            <w:r>
              <w:rPr>
                <w:b w:val="0"/>
                <w:sz w:val="28"/>
              </w:rPr>
              <w:t xml:space="preserve">wymienia rodzaje dokumentów </w:t>
            </w:r>
          </w:p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wymaganych w </w:t>
            </w:r>
          </w:p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recepcji;  </w:t>
            </w:r>
          </w:p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omawia procedury obiegu dokumentacji;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after="2" w:line="239" w:lineRule="auto"/>
            </w:pPr>
            <w:r>
              <w:rPr>
                <w:b w:val="0"/>
                <w:sz w:val="28"/>
              </w:rPr>
              <w:t xml:space="preserve">ilustruje zasady wypełniania </w:t>
            </w:r>
          </w:p>
          <w:p w:rsidR="000B2294" w:rsidRDefault="009E5460">
            <w:pPr>
              <w:spacing w:line="239" w:lineRule="auto"/>
            </w:pPr>
            <w:r>
              <w:rPr>
                <w:b w:val="0"/>
                <w:sz w:val="28"/>
              </w:rPr>
              <w:t xml:space="preserve">dokumentacji recepcji;  posługuje się </w:t>
            </w:r>
          </w:p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>drukami i dokumentami stoso</w:t>
            </w:r>
            <w:r>
              <w:rPr>
                <w:b w:val="0"/>
                <w:sz w:val="28"/>
              </w:rPr>
              <w:t xml:space="preserve">wanymi w hotelach;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after="2" w:line="239" w:lineRule="auto"/>
            </w:pPr>
            <w:r>
              <w:rPr>
                <w:b w:val="0"/>
                <w:sz w:val="28"/>
              </w:rPr>
              <w:t xml:space="preserve">sporządza obowiązującą dokumentację związaną  </w:t>
            </w:r>
          </w:p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z wykonywaniem </w:t>
            </w:r>
          </w:p>
          <w:p w:rsidR="000B2294" w:rsidRDefault="009E5460">
            <w:pPr>
              <w:spacing w:line="239" w:lineRule="auto"/>
            </w:pPr>
            <w:r>
              <w:rPr>
                <w:b w:val="0"/>
                <w:sz w:val="28"/>
              </w:rPr>
              <w:t xml:space="preserve">zadań w recepcji;  zabezpiecza obowiązującą </w:t>
            </w:r>
          </w:p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dokumentację recepcji przed  dostępem osób nieuprawnionych;  wymienia czynności recepcjonisty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  <w:ind w:right="162"/>
            </w:pPr>
            <w:r>
              <w:rPr>
                <w:b w:val="0"/>
                <w:sz w:val="28"/>
              </w:rPr>
              <w:t xml:space="preserve">wykorzystuje komputer z dostępem </w:t>
            </w:r>
            <w:r>
              <w:rPr>
                <w:b w:val="0"/>
                <w:sz w:val="28"/>
              </w:rPr>
              <w:t xml:space="preserve"> do Internetu do wypełniania obowiązującej  dokumentacji recepcji.  wypełnia dokumenty hotelowe   z wykorzystaniem urządzeń komputerowych;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zamyka dobę hotelową w systemie  informatycznym;  sporządza raport zamknięcia doby hotelowej </w:t>
            </w:r>
          </w:p>
        </w:tc>
      </w:tr>
    </w:tbl>
    <w:p w:rsidR="000B2294" w:rsidRDefault="000B2294">
      <w:pPr>
        <w:spacing w:line="259" w:lineRule="auto"/>
        <w:ind w:left="-1416" w:right="15301"/>
        <w:jc w:val="both"/>
      </w:pPr>
    </w:p>
    <w:tbl>
      <w:tblPr>
        <w:tblStyle w:val="TableGrid"/>
        <w:tblW w:w="13996" w:type="dxa"/>
        <w:tblInd w:w="665" w:type="dxa"/>
        <w:tblCellMar>
          <w:top w:w="61" w:type="dxa"/>
          <w:left w:w="108" w:type="dxa"/>
          <w:bottom w:w="0" w:type="dxa"/>
          <w:right w:w="37" w:type="dxa"/>
        </w:tblCellMar>
        <w:tblLook w:val="04A0" w:firstRow="1" w:lastRow="0" w:firstColumn="1" w:lastColumn="0" w:noHBand="0" w:noVBand="1"/>
      </w:tblPr>
      <w:tblGrid>
        <w:gridCol w:w="552"/>
        <w:gridCol w:w="2057"/>
        <w:gridCol w:w="2235"/>
        <w:gridCol w:w="2208"/>
        <w:gridCol w:w="2376"/>
        <w:gridCol w:w="2319"/>
        <w:gridCol w:w="2249"/>
      </w:tblGrid>
      <w:tr w:rsidR="000B2294">
        <w:trPr>
          <w:trHeight w:val="103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0B2294">
            <w:pPr>
              <w:spacing w:after="160" w:line="259" w:lineRule="auto"/>
            </w:pP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0B2294">
            <w:pPr>
              <w:spacing w:after="160" w:line="259" w:lineRule="auto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0B2294">
            <w:pPr>
              <w:spacing w:after="160" w:line="259" w:lineRule="auto"/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0B2294">
            <w:pPr>
              <w:spacing w:after="160" w:line="259" w:lineRule="auto"/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  <w:ind w:right="50"/>
            </w:pPr>
            <w:r>
              <w:rPr>
                <w:b w:val="0"/>
                <w:sz w:val="28"/>
              </w:rPr>
              <w:t xml:space="preserve">związane z zamknięciem  doby hotelowej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0B2294">
            <w:pPr>
              <w:spacing w:after="160" w:line="259" w:lineRule="auto"/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0B2294">
            <w:pPr>
              <w:spacing w:after="160" w:line="259" w:lineRule="auto"/>
            </w:pPr>
          </w:p>
        </w:tc>
      </w:tr>
      <w:tr w:rsidR="000B2294">
        <w:trPr>
          <w:trHeight w:val="308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lastRenderedPageBreak/>
              <w:t xml:space="preserve">7.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  <w:ind w:right="10"/>
            </w:pPr>
            <w:r>
              <w:rPr>
                <w:b w:val="0"/>
                <w:sz w:val="28"/>
              </w:rPr>
              <w:t xml:space="preserve">Ustalanie zasad bezpieczeństwa  pracy w recepcji.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określa czynniki niebezpieczne na stanowisku recepcyjnym;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omawia zasady BHP na stanowiskach pracy w recepcji;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  <w:ind w:right="14"/>
            </w:pPr>
            <w:r>
              <w:rPr>
                <w:b w:val="0"/>
                <w:sz w:val="28"/>
              </w:rPr>
              <w:t xml:space="preserve">wskazuje czynniki szkodliwe na stanowisku pracy w recepcji.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projektuje wzorcowe stanowisko  (wielofunkcyjne) pracy w recepcji;  proponuje rozwiązania przeciwpożarowe  w recepcji;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  <w:ind w:right="61"/>
            </w:pPr>
            <w:r>
              <w:rPr>
                <w:b w:val="0"/>
                <w:sz w:val="28"/>
              </w:rPr>
              <w:t xml:space="preserve">wskazuje rozwiązania proekologiczne  w recepcji; </w:t>
            </w:r>
          </w:p>
        </w:tc>
      </w:tr>
      <w:tr w:rsidR="000B2294">
        <w:trPr>
          <w:trHeight w:val="308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8.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  <w:ind w:right="54"/>
            </w:pPr>
            <w:r>
              <w:rPr>
                <w:b w:val="0"/>
                <w:sz w:val="28"/>
              </w:rPr>
              <w:t xml:space="preserve">Zajęcia do dyspozycji  nauczyciela – do wykorzystania  w przypadku problemów  edukacyjnych uczniów.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Wymagania dostosowane do w/w działów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Wymagania dostosowane do w/w działów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Wymagania dostosowane do w/w działów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Wymagania dostosowane do w/w działów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>Wym</w:t>
            </w:r>
            <w:r>
              <w:rPr>
                <w:b w:val="0"/>
                <w:sz w:val="28"/>
              </w:rPr>
              <w:t xml:space="preserve">agania dostosowane do w/w działów </w:t>
            </w:r>
          </w:p>
        </w:tc>
      </w:tr>
      <w:tr w:rsidR="000B2294">
        <w:trPr>
          <w:trHeight w:val="1378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9. 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Ewaluacja osiągnięć  edukacyjnych uczniów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Osiągnięcie przez ucznia progu zdawalności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Minimalne przekroczenia progu zdawalności.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Zdawalność mieszcząca się od 75% do 89 %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  <w:ind w:right="15"/>
            </w:pPr>
            <w:r>
              <w:rPr>
                <w:b w:val="0"/>
                <w:sz w:val="28"/>
              </w:rPr>
              <w:t xml:space="preserve">Zdawalność od   90 % 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2294" w:rsidRDefault="009E5460">
            <w:pPr>
              <w:spacing w:line="259" w:lineRule="auto"/>
            </w:pPr>
            <w:r>
              <w:rPr>
                <w:b w:val="0"/>
                <w:sz w:val="28"/>
              </w:rPr>
              <w:t xml:space="preserve">Osiągnięcie 100% zdawalności </w:t>
            </w:r>
          </w:p>
        </w:tc>
      </w:tr>
    </w:tbl>
    <w:p w:rsidR="009E5460" w:rsidRDefault="009E5460"/>
    <w:sectPr w:rsidR="009E5460">
      <w:pgSz w:w="16838" w:h="11906" w:orient="landscape"/>
      <w:pgMar w:top="1421" w:right="1537" w:bottom="1565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294"/>
    <w:rsid w:val="000B2294"/>
    <w:rsid w:val="001F0818"/>
    <w:rsid w:val="009E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1C358"/>
  <w15:docId w15:val="{68A8ACB5-5F61-4E09-A6FD-2005EE784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308" w:lineRule="auto"/>
    </w:pPr>
    <w:rPr>
      <w:rFonts w:ascii="Calibri" w:eastAsia="Calibri" w:hAnsi="Calibri" w:cs="Calibri"/>
      <w:b/>
      <w:color w:val="000000"/>
      <w:sz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671</Words>
  <Characters>4030</Characters>
  <Application>Microsoft Office Word</Application>
  <DocSecurity>0</DocSecurity>
  <Lines>33</Lines>
  <Paragraphs>9</Paragraphs>
  <ScaleCrop>false</ScaleCrop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budner</dc:creator>
  <cp:keywords/>
  <cp:lastModifiedBy>Sala 12</cp:lastModifiedBy>
  <cp:revision>3</cp:revision>
  <dcterms:created xsi:type="dcterms:W3CDTF">2026-09-02T12:08:00Z</dcterms:created>
  <dcterms:modified xsi:type="dcterms:W3CDTF">2026-09-02T12:08:00Z</dcterms:modified>
</cp:coreProperties>
</file>